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7D" w:rsidRDefault="0002337D"/>
    <w:p w:rsidR="000155C5" w:rsidRDefault="000155C5" w:rsidP="000155C5">
      <w:proofErr w:type="spellStart"/>
      <w:r>
        <w:rPr>
          <w:rFonts w:ascii="MS Gothic" w:eastAsia="MS Gothic" w:hAnsi="MS Gothic" w:cs="MS Gothic" w:hint="eastAsia"/>
        </w:rPr>
        <w:t>ターミナルバリュ</w:t>
      </w:r>
      <w:proofErr w:type="spellEnd"/>
      <w:r>
        <w:rPr>
          <w:rFonts w:ascii="MS Gothic" w:eastAsia="MS Gothic" w:hAnsi="MS Gothic" w:cs="MS Gothic" w:hint="eastAsia"/>
        </w:rPr>
        <w:t>ー（</w:t>
      </w:r>
      <w:proofErr w:type="spellStart"/>
      <w:r>
        <w:t>TV</w:t>
      </w:r>
      <w:r>
        <w:rPr>
          <w:rFonts w:ascii="MS Gothic" w:eastAsia="MS Gothic" w:hAnsi="MS Gothic" w:cs="MS Gothic" w:hint="eastAsia"/>
        </w:rPr>
        <w:t>）を理解する</w:t>
      </w:r>
      <w:proofErr w:type="spellEnd"/>
    </w:p>
    <w:p w:rsidR="000155C5" w:rsidRDefault="000155C5" w:rsidP="000155C5">
      <w:r>
        <w:rPr>
          <w:rFonts w:ascii="MS Gothic" w:eastAsia="MS Gothic" w:hAnsi="MS Gothic" w:cs="MS Gothic" w:hint="eastAsia"/>
        </w:rPr>
        <w:t>期間が長くなると、予報は暗くなります。これは、特に将来の会社のキャッシュフローの見積もりに関しては、財務にも当てはまります。同時に、ビジネスを評価する必要があります。これを「解決」するために、アナリストは、割引キャッシュフロー（</w:t>
      </w:r>
      <w:r>
        <w:t>DCF</w:t>
      </w:r>
      <w:r>
        <w:rPr>
          <w:rFonts w:ascii="MS Gothic" w:eastAsia="MS Gothic" w:hAnsi="MS Gothic" w:cs="MS Gothic" w:hint="eastAsia"/>
        </w:rPr>
        <w:t>）などの財務モデルを特定の仮定とともに使用して、ビジネスまたはプロジェクトの合計値を取得します。</w:t>
      </w:r>
    </w:p>
    <w:p w:rsidR="000155C5" w:rsidRDefault="000155C5" w:rsidP="000155C5"/>
    <w:p w:rsidR="000155C5" w:rsidRDefault="000155C5" w:rsidP="000155C5"/>
    <w:p w:rsidR="000155C5" w:rsidRDefault="000155C5" w:rsidP="000155C5">
      <w:r>
        <w:rPr>
          <w:rFonts w:ascii="MS Gothic" w:eastAsia="MS Gothic" w:hAnsi="MS Gothic" w:cs="MS Gothic" w:hint="eastAsia"/>
        </w:rPr>
        <w:t>割引キャッシュフロー（割引キャッシュフロー）は、実現可能性調査、企業買収、株式市場の評価で使用される一般的な方法です。この方法は、資産の価値がその資産から受け取る将来のすべてのキャッシュフローに等しいという理論に基づいています。キャッシュフローは、金利などの資本コストを表す割引率で現在価値に割り引く必要があります。</w:t>
      </w:r>
    </w:p>
    <w:p w:rsidR="000155C5" w:rsidRDefault="000155C5" w:rsidP="000155C5">
      <w:proofErr w:type="spellStart"/>
      <w:r>
        <w:rPr>
          <w:rFonts w:ascii="MS Gothic" w:eastAsia="MS Gothic" w:hAnsi="MS Gothic" w:cs="MS Gothic" w:hint="eastAsia"/>
        </w:rPr>
        <w:t>無料の外国為替シグナル</w:t>
      </w:r>
      <w:proofErr w:type="spellEnd"/>
    </w:p>
    <w:p w:rsidR="000155C5" w:rsidRDefault="000155C5" w:rsidP="000155C5">
      <w:r>
        <w:t>DCF</w:t>
      </w:r>
      <w:r>
        <w:rPr>
          <w:rFonts w:ascii="MS Gothic" w:eastAsia="MS Gothic" w:hAnsi="MS Gothic" w:cs="MS Gothic" w:hint="eastAsia"/>
        </w:rPr>
        <w:t>は、予測期間と最終値の</w:t>
      </w:r>
      <w:r>
        <w:t>2</w:t>
      </w:r>
      <w:r>
        <w:rPr>
          <w:rFonts w:ascii="MS Gothic" w:eastAsia="MS Gothic" w:hAnsi="MS Gothic" w:cs="MS Gothic" w:hint="eastAsia"/>
        </w:rPr>
        <w:t>つの主要コンポーネントで構成されます。推定期間は通常約</w:t>
      </w:r>
      <w:r>
        <w:t>5</w:t>
      </w:r>
      <w:r>
        <w:rPr>
          <w:rFonts w:ascii="MS Gothic" w:eastAsia="MS Gothic" w:hAnsi="MS Gothic" w:cs="MS Gothic" w:hint="eastAsia"/>
        </w:rPr>
        <w:t>年です。それより長いものは何でも、予測の正確さは損なわれます。ここでは、端末の値を計算することが重要になります。</w:t>
      </w:r>
    </w:p>
    <w:bookmarkStart w:id="0" w:name="_GoBack"/>
    <w:bookmarkEnd w:id="0"/>
    <w:p w:rsidR="000155C5" w:rsidRDefault="000155C5" w:rsidP="000155C5">
      <w:r>
        <w:fldChar w:fldCharType="begin"/>
      </w:r>
      <w:r>
        <w:instrText xml:space="preserve"> HYPERLINK "https://www.freeforex-signals.com/" \t "_blank" </w:instrText>
      </w:r>
      <w:r>
        <w:fldChar w:fldCharType="separate"/>
      </w:r>
      <w:r>
        <w:rPr>
          <w:rStyle w:val="Hyperlink"/>
        </w:rPr>
        <w:t>free forex trading signals</w:t>
      </w:r>
      <w:r>
        <w:fldChar w:fldCharType="end"/>
      </w:r>
    </w:p>
    <w:p w:rsidR="000155C5" w:rsidRDefault="000155C5" w:rsidP="000155C5">
      <w:r>
        <w:rPr>
          <w:rFonts w:ascii="MS Gothic" w:eastAsia="MS Gothic" w:hAnsi="MS Gothic" w:cs="MS Gothic" w:hint="eastAsia"/>
        </w:rPr>
        <w:t>最終コストを計算するために一般的に使用される</w:t>
      </w:r>
      <w:r>
        <w:t>2</w:t>
      </w:r>
      <w:r>
        <w:rPr>
          <w:rFonts w:ascii="MS Gothic" w:eastAsia="MS Gothic" w:hAnsi="MS Gothic" w:cs="MS Gothic" w:hint="eastAsia"/>
        </w:rPr>
        <w:t>つの方法があります。永続的な成長（ゴードンの成長モデル）と複数の出力です。</w:t>
      </w:r>
      <w:r>
        <w:t xml:space="preserve"> 1</w:t>
      </w:r>
      <w:r>
        <w:rPr>
          <w:rFonts w:ascii="MS Gothic" w:eastAsia="MS Gothic" w:hAnsi="MS Gothic" w:cs="MS Gothic" w:hint="eastAsia"/>
        </w:rPr>
        <w:t>つ目は、ビジネスが永久に一定のレートでキャッシュフローを生成し続けることを想定し、</w:t>
      </w:r>
      <w:r>
        <w:t>2</w:t>
      </w:r>
      <w:r>
        <w:rPr>
          <w:rFonts w:ascii="MS Gothic" w:eastAsia="MS Gothic" w:hAnsi="MS Gothic" w:cs="MS Gothic" w:hint="eastAsia"/>
        </w:rPr>
        <w:t>つ目は、ビジネスがいくつかの市場指標の倍数で販売されることを想定しています。投資の専門家は複数のアプローチを好みますが、科学者は永続的な成長のモデルを好みます。</w:t>
      </w:r>
    </w:p>
    <w:p w:rsidR="000155C5" w:rsidRDefault="000155C5" w:rsidP="000155C5"/>
    <w:p w:rsidR="000155C5" w:rsidRDefault="000155C5" w:rsidP="000155C5">
      <w:proofErr w:type="spellStart"/>
      <w:r>
        <w:rPr>
          <w:rFonts w:ascii="MS Gothic" w:eastAsia="MS Gothic" w:hAnsi="MS Gothic" w:cs="MS Gothic" w:hint="eastAsia"/>
        </w:rPr>
        <w:t>ターミナル値タイプ（</w:t>
      </w:r>
      <w:r>
        <w:t>TV</w:t>
      </w:r>
      <w:proofErr w:type="spellEnd"/>
      <w:r>
        <w:rPr>
          <w:rFonts w:ascii="MS Gothic" w:eastAsia="MS Gothic" w:hAnsi="MS Gothic" w:cs="MS Gothic" w:hint="eastAsia"/>
        </w:rPr>
        <w:t>）</w:t>
      </w:r>
    </w:p>
    <w:p w:rsidR="000155C5" w:rsidRDefault="000155C5" w:rsidP="000155C5">
      <w:proofErr w:type="spellStart"/>
      <w:r>
        <w:rPr>
          <w:rFonts w:ascii="MS Gothic" w:eastAsia="MS Gothic" w:hAnsi="MS Gothic" w:cs="MS Gothic" w:hint="eastAsia"/>
        </w:rPr>
        <w:t>永遠の方法と無料の外国為替取引シグナル</w:t>
      </w:r>
      <w:proofErr w:type="spellEnd"/>
    </w:p>
    <w:p w:rsidR="000155C5" w:rsidRDefault="000155C5" w:rsidP="000155C5">
      <w:r>
        <w:rPr>
          <w:rFonts w:ascii="MS Gothic" w:eastAsia="MS Gothic" w:hAnsi="MS Gothic" w:cs="MS Gothic" w:hint="eastAsia"/>
        </w:rPr>
        <w:t>一時的な金額は、特定の金額の現在価値と将来価値の間に不一致を生じさせるため、割引が必要です。事業を評価する場合、一定期間の純現金収支や配当を予測することはできますが、予測が将来に広がるにつれて、現在の問題の結果を推定することはより困難になります。さらに、会社が操業を停止する可能性のある正確な時期を特定することは困難です。</w:t>
      </w:r>
    </w:p>
    <w:p w:rsidR="000155C5" w:rsidRDefault="000155C5" w:rsidP="000155C5"/>
    <w:p w:rsidR="000155C5" w:rsidRDefault="000155C5" w:rsidP="000155C5">
      <w:r>
        <w:rPr>
          <w:rFonts w:ascii="MS Gothic" w:eastAsia="MS Gothic" w:hAnsi="MS Gothic" w:cs="MS Gothic" w:hint="eastAsia"/>
        </w:rPr>
        <w:t>これらの制限を克服するために、投資家は、キャッシュフローが将来のある時点から始まり、永久に安定した速度で成長すると想定することができます。これが究極の価値です。</w:t>
      </w:r>
    </w:p>
    <w:p w:rsidR="000155C5" w:rsidRDefault="000155C5" w:rsidP="000155C5"/>
    <w:p w:rsidR="000155C5" w:rsidRDefault="000155C5" w:rsidP="000155C5">
      <w:r>
        <w:rPr>
          <w:rFonts w:ascii="MS Gothic" w:eastAsia="MS Gothic" w:hAnsi="MS Gothic" w:cs="MS Gothic" w:hint="eastAsia"/>
        </w:rPr>
        <w:lastRenderedPageBreak/>
        <w:t>ターミナルのコストは、最後に予測されたキャッシュフローを割引率とターミナルの成長率の差で割ることによって計算されます。最終コスト見積もりは、予測期間後の会社の価値を見積もります。最終値の</w:t>
      </w:r>
      <w:proofErr w:type="gramStart"/>
      <w:r>
        <w:rPr>
          <w:rFonts w:ascii="MS Gothic" w:eastAsia="MS Gothic" w:hAnsi="MS Gothic" w:cs="MS Gothic" w:hint="eastAsia"/>
        </w:rPr>
        <w:t>計算式</w:t>
      </w:r>
      <w:r>
        <w:t>::</w:t>
      </w:r>
      <w:proofErr w:type="gramEnd"/>
    </w:p>
    <w:p w:rsidR="000155C5" w:rsidRDefault="000155C5" w:rsidP="000155C5">
      <w:hyperlink r:id="rId4" w:tgtFrame="_blank" w:history="1">
        <w:r>
          <w:rPr>
            <w:rStyle w:val="Hyperlink"/>
          </w:rPr>
          <w:t>free forex signals</w:t>
        </w:r>
      </w:hyperlink>
    </w:p>
    <w:p w:rsidR="000155C5" w:rsidRDefault="000155C5" w:rsidP="000155C5">
      <w:r>
        <w:rPr>
          <w:rFonts w:ascii="MS Gothic" w:eastAsia="MS Gothic" w:hAnsi="MS Gothic" w:cs="MS Gothic" w:hint="eastAsia"/>
        </w:rPr>
        <w:t>（</w:t>
      </w:r>
      <w:r>
        <w:t>FCF *</w:t>
      </w:r>
      <w:r>
        <w:rPr>
          <w:rFonts w:ascii="MS Gothic" w:eastAsia="MS Gothic" w:hAnsi="MS Gothic" w:cs="MS Gothic" w:hint="eastAsia"/>
        </w:rPr>
        <w:t>（</w:t>
      </w:r>
      <w:r>
        <w:t>1 + g</w:t>
      </w:r>
      <w:r>
        <w:rPr>
          <w:rFonts w:ascii="MS Gothic" w:eastAsia="MS Gothic" w:hAnsi="MS Gothic" w:cs="MS Gothic" w:hint="eastAsia"/>
        </w:rPr>
        <w:t>））</w:t>
      </w:r>
      <w:r>
        <w:t>/</w:t>
      </w:r>
      <w:r>
        <w:rPr>
          <w:rFonts w:ascii="MS Gothic" w:eastAsia="MS Gothic" w:hAnsi="MS Gothic" w:cs="MS Gothic" w:hint="eastAsia"/>
        </w:rPr>
        <w:t>（</w:t>
      </w:r>
      <w:r>
        <w:t>d --g</w:t>
      </w:r>
      <w:r>
        <w:rPr>
          <w:rFonts w:ascii="MS Gothic" w:eastAsia="MS Gothic" w:hAnsi="MS Gothic" w:cs="MS Gothic" w:hint="eastAsia"/>
        </w:rPr>
        <w:t>）</w:t>
      </w:r>
    </w:p>
    <w:p w:rsidR="000155C5" w:rsidRDefault="000155C5" w:rsidP="000155C5"/>
    <w:p w:rsidR="000155C5" w:rsidRDefault="000155C5" w:rsidP="000155C5">
      <w:proofErr w:type="spellStart"/>
      <w:r>
        <w:rPr>
          <w:rFonts w:ascii="MS Gothic" w:eastAsia="MS Gothic" w:hAnsi="MS Gothic" w:cs="MS Gothic" w:hint="eastAsia"/>
        </w:rPr>
        <w:t>どこ</w:t>
      </w:r>
      <w:proofErr w:type="spellEnd"/>
      <w:r>
        <w:rPr>
          <w:rFonts w:ascii="MS Gothic" w:eastAsia="MS Gothic" w:hAnsi="MS Gothic" w:cs="MS Gothic" w:hint="eastAsia"/>
        </w:rPr>
        <w:t>：</w:t>
      </w:r>
    </w:p>
    <w:p w:rsidR="000155C5" w:rsidRDefault="000155C5" w:rsidP="000155C5"/>
    <w:p w:rsidR="000155C5" w:rsidRDefault="000155C5" w:rsidP="000155C5">
      <w:r>
        <w:t>FCF =</w:t>
      </w:r>
      <w:proofErr w:type="spellStart"/>
      <w:r>
        <w:rPr>
          <w:rFonts w:ascii="MS Gothic" w:eastAsia="MS Gothic" w:hAnsi="MS Gothic" w:cs="MS Gothic" w:hint="eastAsia"/>
        </w:rPr>
        <w:t>最後の予測期間のフリーキャッシュフロ</w:t>
      </w:r>
      <w:proofErr w:type="spellEnd"/>
      <w:r>
        <w:rPr>
          <w:rFonts w:ascii="MS Gothic" w:eastAsia="MS Gothic" w:hAnsi="MS Gothic" w:cs="MS Gothic" w:hint="eastAsia"/>
        </w:rPr>
        <w:t>ー</w:t>
      </w:r>
    </w:p>
    <w:p w:rsidR="000155C5" w:rsidRDefault="000155C5" w:rsidP="000155C5"/>
    <w:p w:rsidR="000155C5" w:rsidRDefault="000155C5" w:rsidP="000155C5">
      <w:r>
        <w:t>g =</w:t>
      </w:r>
      <w:proofErr w:type="spellStart"/>
      <w:r>
        <w:rPr>
          <w:rFonts w:ascii="MS Gothic" w:eastAsia="MS Gothic" w:hAnsi="MS Gothic" w:cs="MS Gothic" w:hint="eastAsia"/>
        </w:rPr>
        <w:t>最終成長率</w:t>
      </w:r>
      <w:proofErr w:type="spellEnd"/>
    </w:p>
    <w:p w:rsidR="000155C5" w:rsidRDefault="000155C5" w:rsidP="000155C5"/>
    <w:p w:rsidR="000155C5" w:rsidRDefault="000155C5" w:rsidP="000155C5">
      <w:r>
        <w:t>d =</w:t>
      </w:r>
      <w:proofErr w:type="spellStart"/>
      <w:r>
        <w:rPr>
          <w:rFonts w:ascii="MS Gothic" w:eastAsia="MS Gothic" w:hAnsi="MS Gothic" w:cs="MS Gothic" w:hint="eastAsia"/>
        </w:rPr>
        <w:t>割引率（通常は加重平均資本コスト</w:t>
      </w:r>
      <w:proofErr w:type="spellEnd"/>
      <w:r>
        <w:rPr>
          <w:rFonts w:ascii="MS Gothic" w:eastAsia="MS Gothic" w:hAnsi="MS Gothic" w:cs="MS Gothic" w:hint="eastAsia"/>
        </w:rPr>
        <w:t>）</w:t>
      </w:r>
    </w:p>
    <w:p w:rsidR="000155C5" w:rsidRDefault="000155C5" w:rsidP="000155C5"/>
    <w:p w:rsidR="000155C5" w:rsidRDefault="000155C5" w:rsidP="000155C5">
      <w:r>
        <w:rPr>
          <w:rFonts w:ascii="MS Gothic" w:eastAsia="MS Gothic" w:hAnsi="MS Gothic" w:cs="MS Gothic" w:hint="eastAsia"/>
        </w:rPr>
        <w:t>最終的な成長率は、会社が永遠に成長すると予想される一定の率です。この成長率は、割引キャッシュフローモデルによるキャッシュフローの最後の予測期間の終わりに始まり、永遠に続きます。長期インフレ率に対応しますが、国内総生産（</w:t>
      </w:r>
      <w:r>
        <w:t>GDP</w:t>
      </w:r>
      <w:r>
        <w:rPr>
          <w:rFonts w:ascii="MS Gothic" w:eastAsia="MS Gothic" w:hAnsi="MS Gothic" w:cs="MS Gothic" w:hint="eastAsia"/>
        </w:rPr>
        <w:t>）の過去の成長率より高くはありません。</w:t>
      </w:r>
    </w:p>
    <w:p w:rsidR="000155C5" w:rsidRDefault="000155C5" w:rsidP="000155C5">
      <w:proofErr w:type="spellStart"/>
      <w:r>
        <w:rPr>
          <w:rFonts w:ascii="MS Gothic" w:eastAsia="MS Gothic" w:hAnsi="MS Gothic" w:cs="MS Gothic" w:hint="eastAsia"/>
        </w:rPr>
        <w:t>外国為替取引シグナル無料</w:t>
      </w:r>
      <w:proofErr w:type="spellEnd"/>
    </w:p>
    <w:p w:rsidR="000155C5" w:rsidRDefault="000155C5" w:rsidP="000155C5"/>
    <w:p w:rsidR="000155C5" w:rsidRDefault="000155C5" w:rsidP="000155C5">
      <w:proofErr w:type="spellStart"/>
      <w:r>
        <w:rPr>
          <w:rFonts w:ascii="MS Gothic" w:eastAsia="MS Gothic" w:hAnsi="MS Gothic" w:cs="MS Gothic" w:hint="eastAsia"/>
        </w:rPr>
        <w:t>いくつかの方法を終了します</w:t>
      </w:r>
      <w:proofErr w:type="spellEnd"/>
    </w:p>
    <w:p w:rsidR="000155C5" w:rsidRDefault="000155C5" w:rsidP="000155C5">
      <w:r>
        <w:rPr>
          <w:rFonts w:ascii="MS Gothic" w:eastAsia="MS Gothic" w:hAnsi="MS Gothic" w:cs="MS Gothic" w:hint="eastAsia"/>
        </w:rPr>
        <w:t>投資家が限られた取引ウィンドウを想定している場合、無期限の成長のモデルを使用する必要はありません。代わりに、最終的なコストは、その時点での会社の資産の正味実現可能価額を反映する必要があります。これは多くの場合、株式が大企業によって取得されることを意味し、取得コストは多くの場合、複数の利回りで計算されます。</w:t>
      </w:r>
    </w:p>
    <w:p w:rsidR="000155C5" w:rsidRDefault="000155C5" w:rsidP="000155C5">
      <w:pPr>
        <w:rPr>
          <w:rFonts w:ascii="MS Gothic" w:eastAsia="MS Gothic" w:hAnsi="MS Gothic" w:cs="MS Gothic"/>
        </w:rPr>
      </w:pPr>
      <w:hyperlink r:id="rId5" w:history="1">
        <w:r w:rsidRPr="00D63E3E">
          <w:rPr>
            <w:rStyle w:val="Hyperlink"/>
          </w:rPr>
          <w:t>https://www.freeforex-signals.com/</w:t>
        </w:r>
      </w:hyperlink>
    </w:p>
    <w:p w:rsidR="000155C5" w:rsidRDefault="000155C5" w:rsidP="000155C5">
      <w:r>
        <w:rPr>
          <w:rFonts w:ascii="MS Gothic" w:eastAsia="MS Gothic" w:hAnsi="MS Gothic" w:cs="MS Gothic" w:hint="eastAsia"/>
        </w:rPr>
        <w:t>利回り比率は、売上高、収益または利息収入、税金、減価償却費（</w:t>
      </w:r>
      <w:r>
        <w:t>EBITDA</w:t>
      </w:r>
      <w:r>
        <w:rPr>
          <w:rFonts w:ascii="MS Gothic" w:eastAsia="MS Gothic" w:hAnsi="MS Gothic" w:cs="MS Gothic" w:hint="eastAsia"/>
        </w:rPr>
        <w:t>）などの財務統計に、最近買収された同様の企業に共通の比率を掛けることによって公正価格を測定します。投資銀行の価値の公式は、しばしばこの評価方法を使用しますが、一部の批判者もいます。複数出力方式を使用する端末は、最後のメトリック（つまり、売上、</w:t>
      </w:r>
      <w:r>
        <w:t>EBITDA</w:t>
      </w:r>
      <w:r>
        <w:rPr>
          <w:rFonts w:ascii="MS Gothic" w:eastAsia="MS Gothic" w:hAnsi="MS Gothic" w:cs="MS Gothic" w:hint="eastAsia"/>
        </w:rPr>
        <w:t>など）に受け入れられた倍数（通常、他のトランザクションの最後の複数出力の平均）を掛けたものです。独自の相対的な評価方法を同時に使用することには消極的です。</w:t>
      </w:r>
    </w:p>
    <w:p w:rsidR="000155C5" w:rsidRDefault="000155C5" w:rsidP="000155C5"/>
    <w:sectPr w:rsidR="000155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5C5"/>
    <w:rsid w:val="000155C5"/>
    <w:rsid w:val="000233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3247"/>
  <w15:chartTrackingRefBased/>
  <w15:docId w15:val="{F8A7C64B-A144-4A19-A527-D7385B9B3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5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18698">
      <w:bodyDiv w:val="1"/>
      <w:marLeft w:val="0"/>
      <w:marRight w:val="0"/>
      <w:marTop w:val="0"/>
      <w:marBottom w:val="0"/>
      <w:divBdr>
        <w:top w:val="none" w:sz="0" w:space="0" w:color="auto"/>
        <w:left w:val="none" w:sz="0" w:space="0" w:color="auto"/>
        <w:bottom w:val="none" w:sz="0" w:space="0" w:color="auto"/>
        <w:right w:val="none" w:sz="0" w:space="0" w:color="auto"/>
      </w:divBdr>
      <w:divsChild>
        <w:div w:id="785275747">
          <w:marLeft w:val="0"/>
          <w:marRight w:val="0"/>
          <w:marTop w:val="0"/>
          <w:marBottom w:val="0"/>
          <w:divBdr>
            <w:top w:val="none" w:sz="0" w:space="0" w:color="auto"/>
            <w:left w:val="none" w:sz="0" w:space="0" w:color="auto"/>
            <w:bottom w:val="none" w:sz="0" w:space="0" w:color="auto"/>
            <w:right w:val="none" w:sz="0" w:space="0" w:color="auto"/>
          </w:divBdr>
        </w:div>
      </w:divsChild>
    </w:div>
    <w:div w:id="696076821">
      <w:bodyDiv w:val="1"/>
      <w:marLeft w:val="0"/>
      <w:marRight w:val="0"/>
      <w:marTop w:val="0"/>
      <w:marBottom w:val="0"/>
      <w:divBdr>
        <w:top w:val="none" w:sz="0" w:space="0" w:color="auto"/>
        <w:left w:val="none" w:sz="0" w:space="0" w:color="auto"/>
        <w:bottom w:val="none" w:sz="0" w:space="0" w:color="auto"/>
        <w:right w:val="none" w:sz="0" w:space="0" w:color="auto"/>
      </w:divBdr>
      <w:divsChild>
        <w:div w:id="1029183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reeforex-signals.com/" TargetMode="External"/><Relationship Id="rId4" Type="http://schemas.openxmlformats.org/officeDocument/2006/relationships/hyperlink" Target="https://www.freeforex-sig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CRIZMA MEGA STORE</dc:creator>
  <cp:keywords/>
  <dc:description/>
  <cp:lastModifiedBy>CRIZMA MEGA STORE</cp:lastModifiedBy>
  <cp:revision>1</cp:revision>
  <dcterms:created xsi:type="dcterms:W3CDTF">2020-10-29T11:55:00Z</dcterms:created>
  <dcterms:modified xsi:type="dcterms:W3CDTF">2020-10-29T11:57:00Z</dcterms:modified>
</cp:coreProperties>
</file>